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6" w:name="cosigo-custodian-onboarding-packet"/>
    <w:p>
      <w:pPr>
        <w:pStyle w:val="Heading1"/>
      </w:pPr>
      <w:r>
        <w:t xml:space="preserve">Cosigo Custodian Onboarding Packet</w:t>
      </w:r>
    </w:p>
    <w:p>
      <w:pPr>
        <w:pStyle w:val="FirstParagraph"/>
      </w:pPr>
      <w:r>
        <w:t xml:space="preserve">This packet provides a clear, non-adversarial path for individuals or entities considering custodial participation within the Cosigo framework. It does not solicit investment, promise outcomes, or confer authority. Its purpose is to ensure</w:t>
      </w:r>
      <w:r>
        <w:t xml:space="preserve"> </w:t>
      </w:r>
      <w:r>
        <w:rPr>
          <w:b/>
          <w:bCs/>
        </w:rPr>
        <w:t xml:space="preserve">informed participation, correct execution, and durable records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Start w:id="20" w:name="purpose-of-this-packet"/>
    <w:p>
      <w:pPr>
        <w:pStyle w:val="Heading2"/>
      </w:pPr>
      <w:r>
        <w:t xml:space="preserve">1. Purpose of This Packet</w:t>
      </w:r>
    </w:p>
    <w:p>
      <w:pPr>
        <w:pStyle w:val="FirstParagraph"/>
      </w:pPr>
      <w:r>
        <w:t xml:space="preserve">Cosigo custody exists to make physical silver holdings</w:t>
      </w:r>
      <w:r>
        <w:t xml:space="preserve"> </w:t>
      </w:r>
      <w:r>
        <w:rPr>
          <w:b/>
          <w:bCs/>
        </w:rPr>
        <w:t xml:space="preserve">visible, verifiable, and legible over time</w:t>
      </w:r>
      <w:r>
        <w:t xml:space="preserve">. Custodians operate independently. There is no central guarantee, backstop, or rescue mechanism.</w:t>
      </w:r>
    </w:p>
    <w:p>
      <w:pPr>
        <w:pStyle w:val="BodyText"/>
      </w:pPr>
      <w:r>
        <w:t xml:space="preserve">This packet helps you:</w:t>
      </w:r>
      <w:r>
        <w:t xml:space="preserve"> </w:t>
      </w:r>
      <w:r>
        <w:t xml:space="preserve">- choose the correct custodial capacity,</w:t>
      </w:r>
      <w:r>
        <w:t xml:space="preserve"> </w:t>
      </w:r>
      <w:r>
        <w:t xml:space="preserve">- execute the appropriate affidavit correctly,</w:t>
      </w:r>
      <w:r>
        <w:t xml:space="preserve"> </w:t>
      </w:r>
      <w:r>
        <w:t xml:space="preserve">- understand risks and limits,</w:t>
      </w:r>
      <w:r>
        <w:t xml:space="preserve"> </w:t>
      </w:r>
      <w:r>
        <w:t xml:space="preserve">- publish verifiable evidence.</w:t>
      </w:r>
    </w:p>
    <w:p>
      <w:r>
        <w:pict>
          <v:rect style="width:0;height:1.5pt" o:hralign="center" o:hrstd="t" o:hr="t"/>
        </w:pict>
      </w:r>
    </w:p>
    <w:bookmarkEnd w:id="20"/>
    <w:bookmarkStart w:id="23" w:name="choose-your-custodial-capacity"/>
    <w:p>
      <w:pPr>
        <w:pStyle w:val="Heading2"/>
      </w:pPr>
      <w:r>
        <w:t xml:space="preserve">2. Choose Your Custodial Capacity</w:t>
      </w:r>
    </w:p>
    <w:p>
      <w:pPr>
        <w:pStyle w:val="FirstParagraph"/>
      </w:pPr>
      <w:r>
        <w:t xml:space="preserve">Before executing any affidavit, determine</w:t>
      </w:r>
      <w:r>
        <w:t xml:space="preserve"> </w:t>
      </w:r>
      <w:r>
        <w:rPr>
          <w:b/>
          <w:bCs/>
        </w:rPr>
        <w:t xml:space="preserve">how you intend to stand</w:t>
      </w:r>
      <w:r>
        <w:t xml:space="preserve">.</w:t>
      </w:r>
    </w:p>
    <w:bookmarkStart w:id="21" w:name="a.-non-sovereign-custodian-civil-law"/>
    <w:p>
      <w:pPr>
        <w:pStyle w:val="Heading3"/>
      </w:pPr>
      <w:r>
        <w:t xml:space="preserve">A. Non-Sovereign Custodian (Civil Law)</w:t>
      </w:r>
    </w:p>
    <w:p>
      <w:pPr>
        <w:pStyle w:val="FirstParagraph"/>
      </w:pPr>
      <w:r>
        <w:t xml:space="preserve">Choose this path if:</w:t>
      </w:r>
      <w:r>
        <w:t xml:space="preserve"> </w:t>
      </w:r>
      <w:r>
        <w:t xml:space="preserve">- you operate under civil/statutory law,</w:t>
      </w:r>
      <w:r>
        <w:t xml:space="preserve"> </w:t>
      </w:r>
      <w:r>
        <w:t xml:space="preserve">- you expect disputes to be resolved through courts or administrative systems,</w:t>
      </w:r>
      <w:r>
        <w:t xml:space="preserve"> </w:t>
      </w:r>
      <w:r>
        <w:t xml:space="preserve">- you require institutional recognition.</w:t>
      </w:r>
    </w:p>
    <w:p>
      <w:pPr>
        <w:pStyle w:val="BodyText"/>
      </w:pPr>
      <w:r>
        <w:t xml:space="preserve">Requirements:</w:t>
      </w:r>
      <w:r>
        <w:t xml:space="preserve"> </w:t>
      </w:r>
      <w:r>
        <w:t xml:space="preserve">- Non-Sovereign Custodian Affidavit</w:t>
      </w:r>
      <w:r>
        <w:t xml:space="preserve"> </w:t>
      </w:r>
      <w:r>
        <w:t xml:space="preserve">- Two witnesses</w:t>
      </w:r>
      <w:r>
        <w:t xml:space="preserve"> </w:t>
      </w:r>
      <w:r>
        <w:t xml:space="preserve">- Notary acknowledgment</w:t>
      </w:r>
      <w:r>
        <w:t xml:space="preserve"> </w:t>
      </w:r>
      <w:r>
        <w:t xml:space="preserve">- Video evidence + SHA-256 hash</w:t>
      </w:r>
    </w:p>
    <w:bookmarkEnd w:id="21"/>
    <w:bookmarkStart w:id="22" w:name="b.-sovereign-custodian-original-standing"/>
    <w:p>
      <w:pPr>
        <w:pStyle w:val="Heading3"/>
      </w:pPr>
      <w:r>
        <w:t xml:space="preserve">B. Sovereign Custodian (Original Standing)</w:t>
      </w:r>
    </w:p>
    <w:p>
      <w:pPr>
        <w:pStyle w:val="FirstParagraph"/>
      </w:pPr>
      <w:r>
        <w:t xml:space="preserve">Choose this path if:</w:t>
      </w:r>
      <w:r>
        <w:t xml:space="preserve"> </w:t>
      </w:r>
      <w:r>
        <w:t xml:space="preserve">- you do not seek institutional validation,</w:t>
      </w:r>
      <w:r>
        <w:t xml:space="preserve"> </w:t>
      </w:r>
      <w:r>
        <w:t xml:space="preserve">- you rely on sworn declaration and evidence,</w:t>
      </w:r>
      <w:r>
        <w:t xml:space="preserve"> </w:t>
      </w:r>
      <w:r>
        <w:t xml:space="preserve">- you accept personal responsibility for custodial conduct.</w:t>
      </w:r>
    </w:p>
    <w:p>
      <w:pPr>
        <w:pStyle w:val="BodyText"/>
      </w:pPr>
      <w:r>
        <w:t xml:space="preserve">Requirements:</w:t>
      </w:r>
      <w:r>
        <w:t xml:space="preserve"> </w:t>
      </w:r>
      <w:r>
        <w:t xml:space="preserve">- Sovereign Custodian Affidavit</w:t>
      </w:r>
      <w:r>
        <w:t xml:space="preserve"> </w:t>
      </w:r>
      <w:r>
        <w:t xml:space="preserve">- Two witnesses (required)</w:t>
      </w:r>
      <w:r>
        <w:t xml:space="preserve"> </w:t>
      </w:r>
      <w:r>
        <w:t xml:space="preserve">- No notary</w:t>
      </w:r>
      <w:r>
        <w:t xml:space="preserve"> </w:t>
      </w:r>
      <w:r>
        <w:t xml:space="preserve">- Video evidence + SHA-256 hash</w:t>
      </w:r>
    </w:p>
    <w:p>
      <w:pPr>
        <w:pStyle w:val="BodyText"/>
      </w:pPr>
      <w:r>
        <w:rPr>
          <w:b/>
          <w:bCs/>
        </w:rPr>
        <w:t xml:space="preserve">Important:</w:t>
      </w:r>
      <w:r>
        <w:t xml:space="preserve"> </w:t>
      </w:r>
      <w:r>
        <w:t xml:space="preserve">This choice does not grant immunity or exemption. It only clarifies capacity.</w:t>
      </w:r>
    </w:p>
    <w:p>
      <w:r>
        <w:pict>
          <v:rect style="width:0;height:1.5pt" o:hralign="center" o:hrstd="t" o:hr="t"/>
        </w:pict>
      </w:r>
    </w:p>
    <w:bookmarkEnd w:id="22"/>
    <w:bookmarkEnd w:id="23"/>
    <w:bookmarkStart w:id="26" w:name="what-you-are-and-are-not-agreeing-to"/>
    <w:p>
      <w:pPr>
        <w:pStyle w:val="Heading2"/>
      </w:pPr>
      <w:r>
        <w:t xml:space="preserve">3. What You Are and Are Not Agreeing To</w:t>
      </w:r>
    </w:p>
    <w:bookmarkStart w:id="24" w:name="you-are-agreeing-to"/>
    <w:p>
      <w:pPr>
        <w:pStyle w:val="Heading3"/>
      </w:pPr>
      <w:r>
        <w:t xml:space="preserve">You Are Agreeing To:</w:t>
      </w:r>
    </w:p>
    <w:p>
      <w:pPr>
        <w:pStyle w:val="Compact"/>
        <w:numPr>
          <w:ilvl w:val="0"/>
          <w:numId w:val="1001"/>
        </w:numPr>
      </w:pPr>
      <w:r>
        <w:t xml:space="preserve">disclose silver custody truthfully,</w:t>
      </w:r>
    </w:p>
    <w:p>
      <w:pPr>
        <w:pStyle w:val="Compact"/>
        <w:numPr>
          <w:ilvl w:val="0"/>
          <w:numId w:val="1001"/>
        </w:numPr>
      </w:pPr>
      <w:r>
        <w:t xml:space="preserve">maintain good-faith discipline in issuance and redemption,</w:t>
      </w:r>
    </w:p>
    <w:p>
      <w:pPr>
        <w:pStyle w:val="Compact"/>
        <w:numPr>
          <w:ilvl w:val="0"/>
          <w:numId w:val="1001"/>
        </w:numPr>
      </w:pPr>
      <w:r>
        <w:t xml:space="preserve">publish evidence anchoring your claims,</w:t>
      </w:r>
    </w:p>
    <w:p>
      <w:pPr>
        <w:pStyle w:val="Compact"/>
        <w:numPr>
          <w:ilvl w:val="0"/>
          <w:numId w:val="1001"/>
        </w:numPr>
      </w:pPr>
      <w:r>
        <w:t xml:space="preserve">accept visibility.</w:t>
      </w:r>
    </w:p>
    <w:bookmarkEnd w:id="24"/>
    <w:bookmarkStart w:id="25" w:name="you-are-not-agreeing-to"/>
    <w:p>
      <w:pPr>
        <w:pStyle w:val="Heading3"/>
      </w:pPr>
      <w:r>
        <w:t xml:space="preserve">You Are Not Agreeing To:</w:t>
      </w:r>
    </w:p>
    <w:p>
      <w:pPr>
        <w:pStyle w:val="Compact"/>
        <w:numPr>
          <w:ilvl w:val="0"/>
          <w:numId w:val="1002"/>
        </w:numPr>
      </w:pPr>
      <w:r>
        <w:t xml:space="preserve">guarantee redemption or value,</w:t>
      </w:r>
    </w:p>
    <w:p>
      <w:pPr>
        <w:pStyle w:val="Compact"/>
        <w:numPr>
          <w:ilvl w:val="0"/>
          <w:numId w:val="1002"/>
        </w:numPr>
      </w:pPr>
      <w:r>
        <w:t xml:space="preserve">insure losses,</w:t>
      </w:r>
    </w:p>
    <w:p>
      <w:pPr>
        <w:pStyle w:val="Compact"/>
        <w:numPr>
          <w:ilvl w:val="0"/>
          <w:numId w:val="1002"/>
        </w:numPr>
      </w:pPr>
      <w:r>
        <w:t xml:space="preserve">backstop other custodians,</w:t>
      </w:r>
    </w:p>
    <w:p>
      <w:pPr>
        <w:pStyle w:val="Compact"/>
        <w:numPr>
          <w:ilvl w:val="0"/>
          <w:numId w:val="1002"/>
        </w:numPr>
      </w:pPr>
      <w:r>
        <w:t xml:space="preserve">submit to governance beyond what you voluntarily affirm.</w:t>
      </w:r>
    </w:p>
    <w:p>
      <w:r>
        <w:pict>
          <v:rect style="width:0;height:1.5pt" o:hralign="center" o:hrstd="t" o:hr="t"/>
        </w:pict>
      </w:r>
    </w:p>
    <w:bookmarkEnd w:id="25"/>
    <w:bookmarkEnd w:id="26"/>
    <w:bookmarkStart w:id="27" w:name="known-risks-read-carefully"/>
    <w:p>
      <w:pPr>
        <w:pStyle w:val="Heading2"/>
      </w:pPr>
      <w:r>
        <w:t xml:space="preserve">4. Known Risks (Read Carefully)</w:t>
      </w:r>
    </w:p>
    <w:p>
      <w:pPr>
        <w:pStyle w:val="FirstParagraph"/>
      </w:pPr>
      <w:r>
        <w:t xml:space="preserve">By participating as a custodian, you acknowledge:</w:t>
      </w:r>
      <w:r>
        <w:t xml:space="preserve"> </w:t>
      </w:r>
      <w:r>
        <w:t xml:space="preserve">- silver may be lost, seized, stolen, or confiscated,</w:t>
      </w:r>
      <w:r>
        <w:t xml:space="preserve"> </w:t>
      </w:r>
      <w:r>
        <w:t xml:space="preserve">- redemption may be delayed or impossible,</w:t>
      </w:r>
      <w:r>
        <w:t xml:space="preserve"> </w:t>
      </w:r>
      <w:r>
        <w:t xml:space="preserve">- third parties may create derivatives, lending, or synthetic claims without consent,</w:t>
      </w:r>
      <w:r>
        <w:t xml:space="preserve"> </w:t>
      </w:r>
      <w:r>
        <w:t xml:space="preserve">- regulatory or enforcement actions may occur,</w:t>
      </w:r>
      <w:r>
        <w:t xml:space="preserve"> </w:t>
      </w:r>
      <w:r>
        <w:t xml:space="preserve">- no systemic rescue exists.</w:t>
      </w:r>
    </w:p>
    <w:p>
      <w:pPr>
        <w:pStyle w:val="BodyText"/>
      </w:pPr>
      <w:r>
        <w:t xml:space="preserve">Cosigo does not prevent these outcomes. It records them.</w:t>
      </w:r>
    </w:p>
    <w:p>
      <w:r>
        <w:pict>
          <v:rect style="width:0;height:1.5pt" o:hralign="center" o:hrstd="t" o:hr="t"/>
        </w:pict>
      </w:r>
    </w:p>
    <w:bookmarkEnd w:id="27"/>
    <w:bookmarkStart w:id="28" w:name="evidence-creation-checklist"/>
    <w:p>
      <w:pPr>
        <w:pStyle w:val="Heading2"/>
      </w:pPr>
      <w:r>
        <w:t xml:space="preserve">5. Evidence Creation Checklist</w:t>
      </w:r>
    </w:p>
    <w:p>
      <w:pPr>
        <w:pStyle w:val="FirstParagraph"/>
      </w:pPr>
      <w:r>
        <w:t xml:space="preserve">Before execution:</w:t>
      </w:r>
      <w:r>
        <w:t xml:space="preserve"> </w:t>
      </w:r>
      <w:r>
        <w:t xml:space="preserve">- Prepare all physical silver to be declared</w:t>
      </w:r>
      <w:r>
        <w:t xml:space="preserve"> </w:t>
      </w:r>
      <w:r>
        <w:t xml:space="preserve">- Prepare two witnesses</w:t>
      </w:r>
      <w:r>
        <w:t xml:space="preserve"> </w:t>
      </w:r>
      <w:r>
        <w:t xml:space="preserve">- Prepare recording device with date/time metadata enabled</w:t>
      </w:r>
    </w:p>
    <w:p>
      <w:pPr>
        <w:pStyle w:val="BodyText"/>
      </w:pPr>
      <w:r>
        <w:t xml:space="preserve">Video must show:</w:t>
      </w:r>
      <w:r>
        <w:t xml:space="preserve"> </w:t>
      </w:r>
      <w:r>
        <w:t xml:space="preserve">- custodian identity (spoken)</w:t>
      </w:r>
      <w:r>
        <w:t xml:space="preserve"> </w:t>
      </w:r>
      <w:r>
        <w:t xml:space="preserve">- both witnesses present</w:t>
      </w:r>
      <w:r>
        <w:t xml:space="preserve"> </w:t>
      </w:r>
      <w:r>
        <w:t xml:space="preserve">- physical silver (form, markings, quantity)</w:t>
      </w:r>
      <w:r>
        <w:t xml:space="preserve"> </w:t>
      </w:r>
      <w:r>
        <w:t xml:space="preserve">- continuous, unedited capture</w:t>
      </w:r>
    </w:p>
    <w:p>
      <w:pPr>
        <w:pStyle w:val="BodyText"/>
      </w:pPr>
      <w:r>
        <w:t xml:space="preserve">After recording:</w:t>
      </w:r>
      <w:r>
        <w:t xml:space="preserve"> </w:t>
      </w:r>
      <w:r>
        <w:t xml:space="preserve">- generate SHA-256 hash of the file</w:t>
      </w:r>
      <w:r>
        <w:t xml:space="preserve"> </w:t>
      </w:r>
      <w:r>
        <w:t xml:space="preserve">- store original securely</w:t>
      </w:r>
      <w:r>
        <w:t xml:space="preserve"> </w:t>
      </w:r>
      <w:r>
        <w:t xml:space="preserve">- record the hash in your affidavit</w:t>
      </w:r>
    </w:p>
    <w:p>
      <w:r>
        <w:pict>
          <v:rect style="width:0;height:1.5pt" o:hralign="center" o:hrstd="t" o:hr="t"/>
        </w:pict>
      </w:r>
    </w:p>
    <w:bookmarkEnd w:id="28"/>
    <w:bookmarkStart w:id="31" w:name="execution-checklist"/>
    <w:p>
      <w:pPr>
        <w:pStyle w:val="Heading2"/>
      </w:pPr>
      <w:r>
        <w:t xml:space="preserve">6. Execution Checklist</w:t>
      </w:r>
    </w:p>
    <w:bookmarkStart w:id="29" w:name="non-sovereign-custodian"/>
    <w:p>
      <w:pPr>
        <w:pStyle w:val="Heading3"/>
      </w:pPr>
      <w:r>
        <w:t xml:space="preserve">Non-Sovereign Custodian</w:t>
      </w:r>
    </w:p>
    <w:p>
      <w:pPr>
        <w:pStyle w:val="Compact"/>
        <w:numPr>
          <w:ilvl w:val="0"/>
          <w:numId w:val="1003"/>
        </w:numPr>
      </w:pPr>
      <w:r>
        <w:t xml:space="preserve">Complete affidavit fully</w:t>
      </w:r>
    </w:p>
    <w:p>
      <w:pPr>
        <w:pStyle w:val="Compact"/>
        <w:numPr>
          <w:ilvl w:val="0"/>
          <w:numId w:val="1003"/>
        </w:numPr>
      </w:pPr>
      <w:r>
        <w:t xml:space="preserve">Sign in presence of witnesses</w:t>
      </w:r>
    </w:p>
    <w:p>
      <w:pPr>
        <w:pStyle w:val="Compact"/>
        <w:numPr>
          <w:ilvl w:val="0"/>
          <w:numId w:val="1003"/>
        </w:numPr>
      </w:pPr>
      <w:r>
        <w:t xml:space="preserve">Obtain notary acknowledgment</w:t>
      </w:r>
    </w:p>
    <w:p>
      <w:pPr>
        <w:pStyle w:val="Compact"/>
        <w:numPr>
          <w:ilvl w:val="0"/>
          <w:numId w:val="1003"/>
        </w:numPr>
      </w:pPr>
      <w:r>
        <w:t xml:space="preserve">Retain original</w:t>
      </w:r>
    </w:p>
    <w:bookmarkEnd w:id="29"/>
    <w:bookmarkStart w:id="30" w:name="sovereign-custodian"/>
    <w:p>
      <w:pPr>
        <w:pStyle w:val="Heading3"/>
      </w:pPr>
      <w:r>
        <w:t xml:space="preserve">Sovereign Custodian</w:t>
      </w:r>
    </w:p>
    <w:p>
      <w:pPr>
        <w:pStyle w:val="Compact"/>
        <w:numPr>
          <w:ilvl w:val="0"/>
          <w:numId w:val="1004"/>
        </w:numPr>
      </w:pPr>
      <w:r>
        <w:t xml:space="preserve">Complete affidavit fully</w:t>
      </w:r>
    </w:p>
    <w:p>
      <w:pPr>
        <w:pStyle w:val="Compact"/>
        <w:numPr>
          <w:ilvl w:val="0"/>
          <w:numId w:val="1004"/>
        </w:numPr>
      </w:pPr>
      <w:r>
        <w:t xml:space="preserve">Sign in presence of witnesses</w:t>
      </w:r>
    </w:p>
    <w:p>
      <w:pPr>
        <w:pStyle w:val="Compact"/>
        <w:numPr>
          <w:ilvl w:val="0"/>
          <w:numId w:val="1004"/>
        </w:numPr>
      </w:pPr>
      <w:r>
        <w:t xml:space="preserve">No notary</w:t>
      </w:r>
    </w:p>
    <w:p>
      <w:pPr>
        <w:pStyle w:val="Compact"/>
        <w:numPr>
          <w:ilvl w:val="0"/>
          <w:numId w:val="1004"/>
        </w:numPr>
      </w:pPr>
      <w:r>
        <w:t xml:space="preserve">Retain original</w:t>
      </w:r>
    </w:p>
    <w:p>
      <w:r>
        <w:pict>
          <v:rect style="width:0;height:1.5pt" o:hralign="center" o:hrstd="t" o:hr="t"/>
        </w:pict>
      </w:r>
    </w:p>
    <w:bookmarkEnd w:id="30"/>
    <w:bookmarkEnd w:id="31"/>
    <w:bookmarkStart w:id="32" w:name="publication-and-ledger-entry"/>
    <w:p>
      <w:pPr>
        <w:pStyle w:val="Heading2"/>
      </w:pPr>
      <w:r>
        <w:t xml:space="preserve">7. Publication and Ledger Entry</w:t>
      </w:r>
    </w:p>
    <w:p>
      <w:pPr>
        <w:pStyle w:val="FirstParagraph"/>
      </w:pPr>
      <w:r>
        <w:t xml:space="preserve">After execution:</w:t>
      </w:r>
      <w:r>
        <w:t xml:space="preserve"> </w:t>
      </w:r>
      <w:r>
        <w:t xml:space="preserve">- publish affidavit hash to the Cosigo affidavit ledger</w:t>
      </w:r>
      <w:r>
        <w:t xml:space="preserve"> </w:t>
      </w:r>
      <w:r>
        <w:t xml:space="preserve">- submit copy to Cosigo headquarters if applicable</w:t>
      </w:r>
      <w:r>
        <w:t xml:space="preserve"> </w:t>
      </w:r>
      <w:r>
        <w:t xml:space="preserve">- retain originals indefinitely</w:t>
      </w:r>
    </w:p>
    <w:p>
      <w:pPr>
        <w:pStyle w:val="BodyText"/>
      </w:pPr>
      <w:r>
        <w:t xml:space="preserve">Publication provides timestamped existence, not approval.</w:t>
      </w:r>
    </w:p>
    <w:p>
      <w:r>
        <w:pict>
          <v:rect style="width:0;height:1.5pt" o:hralign="center" o:hrstd="t" o:hr="t"/>
        </w:pict>
      </w:r>
    </w:p>
    <w:bookmarkEnd w:id="32"/>
    <w:bookmarkStart w:id="33" w:name="amendments-and-annual-reaffirmation"/>
    <w:p>
      <w:pPr>
        <w:pStyle w:val="Heading2"/>
      </w:pPr>
      <w:r>
        <w:t xml:space="preserve">8. Amendments and Annual Reaffirmation</w:t>
      </w:r>
    </w:p>
    <w:p>
      <w:pPr>
        <w:pStyle w:val="FirstParagraph"/>
      </w:pPr>
      <w:r>
        <w:t xml:space="preserve">Custodians are expected to:</w:t>
      </w:r>
      <w:r>
        <w:t xml:space="preserve"> </w:t>
      </w:r>
      <w:r>
        <w:t xml:space="preserve">- reaffirm or amend affidavits annually,</w:t>
      </w:r>
      <w:r>
        <w:t xml:space="preserve"> </w:t>
      </w:r>
      <w:r>
        <w:t xml:space="preserve">- publish updated hashes upon material change,</w:t>
      </w:r>
      <w:r>
        <w:t xml:space="preserve"> </w:t>
      </w:r>
      <w:r>
        <w:t xml:space="preserve">- disclose loss, impairment, or withdrawal promptly.</w:t>
      </w:r>
    </w:p>
    <w:p>
      <w:pPr>
        <w:pStyle w:val="BodyText"/>
      </w:pPr>
      <w:r>
        <w:t xml:space="preserve">Failure to reaffirm may result in suspension of recognition.</w:t>
      </w:r>
    </w:p>
    <w:p>
      <w:r>
        <w:pict>
          <v:rect style="width:0;height:1.5pt" o:hralign="center" o:hrstd="t" o:hr="t"/>
        </w:pict>
      </w:r>
    </w:p>
    <w:bookmarkEnd w:id="33"/>
    <w:bookmarkStart w:id="34" w:name="exit-and-closeout"/>
    <w:p>
      <w:pPr>
        <w:pStyle w:val="Heading2"/>
      </w:pPr>
      <w:r>
        <w:t xml:space="preserve">9. Exit and Closeout</w:t>
      </w:r>
    </w:p>
    <w:p>
      <w:pPr>
        <w:pStyle w:val="FirstParagraph"/>
      </w:pPr>
      <w:r>
        <w:t xml:space="preserve">Custodians may exit voluntarily.</w:t>
      </w:r>
    </w:p>
    <w:p>
      <w:pPr>
        <w:pStyle w:val="BodyText"/>
      </w:pPr>
      <w:r>
        <w:t xml:space="preserve">Before exit:</w:t>
      </w:r>
      <w:r>
        <w:t xml:space="preserve"> </w:t>
      </w:r>
      <w:r>
        <w:t xml:space="preserve">- outstanding commitments must be settled, transferred, or disclosed,</w:t>
      </w:r>
      <w:r>
        <w:t xml:space="preserve"> </w:t>
      </w:r>
      <w:r>
        <w:t xml:space="preserve">- evidence of closeout should be recorded.</w:t>
      </w:r>
    </w:p>
    <w:p>
      <w:pPr>
        <w:pStyle w:val="BodyText"/>
      </w:pPr>
      <w:r>
        <w:t xml:space="preserve">Cosigo does not compel continuation.</w:t>
      </w:r>
    </w:p>
    <w:p>
      <w:r>
        <w:pict>
          <v:rect style="width:0;height:1.5pt" o:hralign="center" o:hrstd="t" o:hr="t"/>
        </w:pict>
      </w:r>
    </w:p>
    <w:bookmarkEnd w:id="34"/>
    <w:bookmarkStart w:id="35" w:name="final-note"/>
    <w:p>
      <w:pPr>
        <w:pStyle w:val="Heading2"/>
      </w:pPr>
      <w:r>
        <w:t xml:space="preserve">10. Final Note</w:t>
      </w:r>
    </w:p>
    <w:p>
      <w:pPr>
        <w:pStyle w:val="FirstParagraph"/>
      </w:pPr>
      <w:r>
        <w:t xml:space="preserve">Cosigo custody is not about power, permission, or prediction.</w:t>
      </w:r>
    </w:p>
    <w:p>
      <w:pPr>
        <w:pStyle w:val="BodyText"/>
      </w:pPr>
      <w:r>
        <w:t xml:space="preserve">It is about</w:t>
      </w:r>
      <w:r>
        <w:t xml:space="preserve"> </w:t>
      </w:r>
      <w:r>
        <w:rPr>
          <w:b/>
          <w:bCs/>
        </w:rPr>
        <w:t xml:space="preserve">records that survive disorder</w:t>
      </w:r>
      <w:r>
        <w:t xml:space="preserve">.</w:t>
      </w:r>
    </w:p>
    <w:p>
      <w:pPr>
        <w:pStyle w:val="BodyText"/>
      </w:pPr>
      <w:r>
        <w:t xml:space="preserve">Proceed only if you understand that visibility replaces protection, and evidence replaces trust.</w:t>
      </w:r>
    </w:p>
    <w:bookmarkEnd w:id="35"/>
    <w:bookmarkEnd w:id="3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2026-01-14T02:02:01Z</dcterms:created>
  <dcterms:modified xsi:type="dcterms:W3CDTF">2026-01-14T02:02:01Z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